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99F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60" w:lineRule="atLeast"/>
        <w:ind w:left="0" w:right="0" w:firstLine="0"/>
        <w:jc w:val="center"/>
        <w:textAlignment w:val="baseline"/>
        <w:rPr>
          <w:rFonts w:ascii="Helvetica" w:hAnsi="Helvetica" w:eastAsia="Helvetica" w:cs="Helvetica"/>
          <w:b/>
          <w:bCs/>
          <w:i w:val="0"/>
          <w:iCs w:val="0"/>
          <w:caps w:val="0"/>
          <w:color w:val="333333"/>
          <w:spacing w:val="0"/>
          <w:sz w:val="42"/>
          <w:szCs w:val="42"/>
        </w:rPr>
      </w:pPr>
      <w:bookmarkStart w:id="0" w:name="_GoBack"/>
      <w:r>
        <w:rPr>
          <w:rFonts w:hint="default" w:ascii="Helvetica" w:hAnsi="Helvetica" w:eastAsia="Helvetica" w:cs="Helvetica"/>
          <w:b/>
          <w:bCs/>
          <w:i w:val="0"/>
          <w:iCs w:val="0"/>
          <w:caps w:val="0"/>
          <w:color w:val="333333"/>
          <w:spacing w:val="0"/>
          <w:sz w:val="32"/>
          <w:szCs w:val="32"/>
          <w:bdr w:val="none" w:color="auto" w:sz="0" w:space="0"/>
          <w:shd w:val="clear" w:fill="FFFFFF"/>
          <w:vertAlign w:val="baseline"/>
        </w:rPr>
        <w:t>一文看懂尘埃粒子计数器的八个主要结构</w:t>
      </w:r>
      <w:bookmarkEnd w:id="0"/>
    </w:p>
    <w:p w14:paraId="3CFFC5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w:t>
      </w:r>
      <w:r>
        <w:rPr>
          <w:rStyle w:val="5"/>
          <w:rFonts w:hint="default" w:ascii="Helvetica" w:hAnsi="Helvetica" w:eastAsia="Helvetica" w:cs="Helvetica"/>
          <w:b/>
          <w:bCs/>
          <w:i w:val="0"/>
          <w:iCs w:val="0"/>
          <w:caps w:val="0"/>
          <w:color w:val="333333"/>
          <w:spacing w:val="0"/>
          <w:kern w:val="0"/>
          <w:sz w:val="21"/>
          <w:szCs w:val="21"/>
          <w:bdr w:val="none" w:color="auto" w:sz="0" w:space="0"/>
          <w:shd w:val="clear" w:fill="FFFFFF"/>
          <w:vertAlign w:val="baseline"/>
          <w:lang w:val="en-US" w:eastAsia="zh-CN" w:bidi="ar"/>
        </w:rPr>
        <w:t>尘埃粒子计数器</w:t>
      </w: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通过实时监测空气中悬浮颗粒物的浓度和尺寸分布，为生产过程提供关键数据支持。要理解其工作原理与性能特点，有必要深入了解它的各个组成部件及其具体作用。</w:t>
      </w:r>
    </w:p>
    <w:p w14:paraId="6E4119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一、尘埃粒子计数器光源系统——核心探测的基础</w:t>
      </w:r>
    </w:p>
    <w:p w14:paraId="5E714E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该设备的心脏是一个稳定的半导体激光器，通常发射特定波长的单色光束（如650nm红色激光）。相较于传统白光光源，激光具有高度相干性和方向性，能够形成细小且能量集中的光路。当空气中的微粒穿过这束光时，会产生散射现象，散射光强度与粒子大小成正比。先进的型号还会配备自动功率补偿电路，确保长时间运行后仍能保持稳定输出，避免因激光器老化导致的信号衰减问题。</w:t>
      </w:r>
    </w:p>
    <w:p w14:paraId="5FDB4E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二、光学传感单元——精准捕捉信号源</w:t>
      </w:r>
    </w:p>
    <w:p w14:paraId="4E152C8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围绕主光路设置多个光电探测器构成多通道接收阵列是此类仪器的重要特征。每个探测器对应不同角度范围内的散射光收集任务：前向散射区主要捕捉较小粒径的信号；侧向和后向散射区则负责较大颗粒的信息采集。这种多角度布局实现了对宽广粒径范围内（通常从亚微米到数百微米）颗粒物的同步检测。某些机型采用光纤耦合技术将收集到的光信号传输至处理模块，最大限度减少信号损失并提高抗干扰能力。</w:t>
      </w:r>
    </w:p>
    <w:p w14:paraId="7C03426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三、尘埃粒子计数器信号调理电路——放大微弱脉冲的生命线</w:t>
      </w:r>
    </w:p>
    <w:p w14:paraId="7704388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由于单个微粒产生的散射光非常微弱，需要经过多级低噪声放大器进行预处理。现代设备普遍采用数字锁相放大技术，能有效剔除背景噪声和其他杂散光的影响。模数转换器将模拟电压信号转化为高速数字流，便于后续分析处理。部分产品还集成了自适应阈值调节功能，可根据当前环境动态调整触发灵敏度，既保证检测下限又防止饱和失真。</w:t>
      </w:r>
    </w:p>
    <w:p w14:paraId="60BFA5D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四、数据处理引擎——智能解析复杂图谱</w:t>
      </w:r>
    </w:p>
    <w:p w14:paraId="4D80E9E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内置微处理器运行专用算法软件，负责将原始计数数据转换为直观易懂的结果展示形式。它能自动校正重叠峰效应造成的测量误差，运用累积分布函数计算各级别粒子占比，并生成符合ISO标准的报告格式。用户可通过触摸屏设定报警阈值、采样周期等参数，系统支持历史数据存储调取和趋势图表绘制，帮助技术人员快速定位污染源变化规律。</w:t>
      </w:r>
    </w:p>
    <w:p w14:paraId="1F453E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五、气流控制系统——确保样本代表性的关键</w:t>
      </w:r>
    </w:p>
    <w:p w14:paraId="5A1DFE0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精密设计的文丘里管结构保证了恒定流速的空气样品进入测量腔室。质量流量控制器精确调节旁路分流比，使主流道维持稳定雷诺数下的层流状态。内置高效过滤器可拦截过大颗粒以免损坏光学元件，同时加热装置防止水汽凝结干扰检测。某些特殊应用场合还会配置惰性气体置换模块，适用于易燃易爆环境的安全防护需求。</w:t>
      </w:r>
    </w:p>
    <w:p w14:paraId="4B8339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六、尘埃粒子计数器显示界面与交互终端——人机对话窗口</w:t>
      </w:r>
    </w:p>
    <w:p w14:paraId="2067F3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彩色液晶显示屏实时呈现当前读数、等级分类柱状图以及设备状态指示图标。操作人员可以通过物理按键或虚拟键盘输入指令，查看详细诊断信息甚至远程升级固件版本。网络接口支持Modbus、Profibus等多种工业协议，方便整合到SCADA系统中实现中央监控管理。移动端APP的应用让运维人员随时随地掌握设备运行状况成为可能。</w:t>
      </w:r>
    </w:p>
    <w:p w14:paraId="7A6B09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七、自清洁机制——保持长期稳定性的秘诀</w:t>
      </w:r>
    </w:p>
    <w:p w14:paraId="179CA48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定期启动的内部清扫程序利用高压气流反吹光学窗口表面的沉积物，配合紫外线消毒灯杀灭微生物滋生。自动归零校准功能可在每次测量前后自动扣除本底值，消除光学元件漂移带来的系统误差。对于高污染环境使用的机型，可选配旋转刷式清理机构，有效延长维护周期。</w:t>
      </w:r>
    </w:p>
    <w:p w14:paraId="5720E8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八、外壳防护设计——适应恶劣工况的保障</w:t>
      </w:r>
    </w:p>
    <w:p w14:paraId="5E9AAA4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pPr>
      <w:r>
        <w:rPr>
          <w:rFonts w:hint="default" w:ascii="Helvetica" w:hAnsi="Helvetica" w:eastAsia="Helvetica" w:cs="Helvetica"/>
          <w:i w:val="0"/>
          <w:iCs w:val="0"/>
          <w:caps w:val="0"/>
          <w:color w:val="333333"/>
          <w:spacing w:val="0"/>
          <w:kern w:val="0"/>
          <w:sz w:val="21"/>
          <w:szCs w:val="21"/>
          <w:bdr w:val="none" w:color="auto" w:sz="0" w:space="0"/>
          <w:shd w:val="clear" w:fill="FFFFFF"/>
          <w:vertAlign w:val="baseline"/>
          <w:lang w:val="en-US" w:eastAsia="zh-CN" w:bidi="ar"/>
        </w:rPr>
        <w:t>　　整体铸造铝合金机箱达到IP65防护等级，接缝处采用硅胶密封圈实现防尘防水效果。散热鳍片配合温控风扇构成风冷散热系统，确保电子元件在允许温度范围内可靠工作。电磁兼容设计抑制了外部磁场对微弱信号的影响，使得设备即使在强电磁干扰环境下也能正常运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6DD2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Words>
  <Characters>18</Characters>
  <Lines>0</Lines>
  <Paragraphs>0</Paragraphs>
  <TotalTime>0</TotalTime>
  <ScaleCrop>false</ScaleCrop>
  <LinksUpToDate>false</LinksUpToDate>
  <CharactersWithSpaces>18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2026-01-14T02:36:20Z</dcterms:created>
  <dc:creator>Mt</dc:creator>
  <cp:lastModifiedBy>制药网阳阳</cp:lastModifiedBy>
  <dcterms:modified xsi:type="dcterms:W3CDTF">2026-01-14T02:36:43Z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eyJoZGlkIjoiZmU3OTIwMjI1NjFkMGE3MmZiOGEwOGVkNWQ0ZWE2ODQiLCJ1c2VySWQiOiIxNjExODgwMzUyIn0=</vt:lpwstr>
  </property>
  <property fmtid="{D5CDD505-2E9C-101B-9397-08002B2CF9AE}" pid="4" name="ICV">
    <vt:lpwstr>D3DE2D2251DD4D6D9A7822F29A24650A_12</vt:lpwstr>
  </property>
</Properties>
</file>